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28" w:rsidRPr="00BD0BDB" w:rsidRDefault="00145228" w:rsidP="00145228">
      <w:pPr>
        <w:jc w:val="center"/>
        <w:rPr>
          <w:b/>
          <w:sz w:val="26"/>
          <w:szCs w:val="26"/>
        </w:rPr>
      </w:pPr>
      <w:r w:rsidRPr="00BD0BDB">
        <w:rPr>
          <w:b/>
          <w:sz w:val="26"/>
          <w:szCs w:val="26"/>
        </w:rPr>
        <w:t>РЕСПУБЛИКА АЛТАЙ   МАЙМИНСКИЙ РАЙОН</w:t>
      </w:r>
    </w:p>
    <w:p w:rsidR="00145228" w:rsidRPr="00BD0BDB" w:rsidRDefault="00145228" w:rsidP="00145228">
      <w:pPr>
        <w:jc w:val="center"/>
        <w:rPr>
          <w:b/>
          <w:sz w:val="26"/>
          <w:szCs w:val="26"/>
        </w:rPr>
      </w:pPr>
      <w:r w:rsidRPr="00BD0BDB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145228" w:rsidRPr="00BD0BDB" w:rsidRDefault="00145228" w:rsidP="00145228">
      <w:pPr>
        <w:jc w:val="center"/>
        <w:rPr>
          <w:b/>
          <w:sz w:val="26"/>
          <w:szCs w:val="26"/>
        </w:rPr>
      </w:pPr>
      <w:r w:rsidRPr="00BD0BDB">
        <w:rPr>
          <w:b/>
          <w:sz w:val="26"/>
          <w:szCs w:val="26"/>
        </w:rPr>
        <w:t>СОУЗГИНСКОЕ СЕЛЬСКОЕ ПОСЕЛЕНИЕ</w:t>
      </w:r>
    </w:p>
    <w:p w:rsidR="00145228" w:rsidRPr="00BD0BDB" w:rsidRDefault="00B51F1D" w:rsidP="00145228">
      <w:pPr>
        <w:jc w:val="center"/>
        <w:rPr>
          <w:b/>
          <w:sz w:val="26"/>
          <w:szCs w:val="26"/>
        </w:rPr>
      </w:pPr>
      <w:r w:rsidRPr="00BD0BDB">
        <w:rPr>
          <w:b/>
          <w:sz w:val="26"/>
          <w:szCs w:val="26"/>
        </w:rPr>
        <w:t xml:space="preserve">                                                                                     </w:t>
      </w:r>
    </w:p>
    <w:p w:rsidR="00145228" w:rsidRPr="00BD0BDB" w:rsidRDefault="00D31F16" w:rsidP="0014522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РЕШЕНИЕ</w:t>
      </w:r>
    </w:p>
    <w:p w:rsidR="00145228" w:rsidRPr="0037126C" w:rsidRDefault="00C57C5B" w:rsidP="00145228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1</w:t>
      </w:r>
      <w:r w:rsidR="00A21586">
        <w:rPr>
          <w:color w:val="0000FF"/>
          <w:sz w:val="26"/>
          <w:szCs w:val="26"/>
        </w:rPr>
        <w:t>3</w:t>
      </w:r>
      <w:r w:rsidR="00145228" w:rsidRPr="00E10F9E">
        <w:rPr>
          <w:color w:val="0000FF"/>
          <w:sz w:val="26"/>
          <w:szCs w:val="26"/>
        </w:rPr>
        <w:t>-й сессии</w:t>
      </w:r>
      <w:r w:rsidR="00CD2209" w:rsidRPr="0037126C">
        <w:rPr>
          <w:color w:val="0000FF"/>
          <w:sz w:val="26"/>
          <w:szCs w:val="26"/>
        </w:rPr>
        <w:t xml:space="preserve">                               </w:t>
      </w:r>
    </w:p>
    <w:p w:rsidR="00666EFE" w:rsidRPr="0037126C" w:rsidRDefault="00AE2107" w:rsidP="00C015B4">
      <w:pPr>
        <w:pBdr>
          <w:bottom w:val="single" w:sz="12" w:space="0" w:color="auto"/>
        </w:pBd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четверто</w:t>
      </w:r>
      <w:r w:rsidR="005A69E6" w:rsidRPr="0037126C">
        <w:rPr>
          <w:color w:val="0000FF"/>
          <w:sz w:val="26"/>
          <w:szCs w:val="26"/>
        </w:rPr>
        <w:t>го</w:t>
      </w:r>
      <w:r w:rsidR="00145228" w:rsidRPr="0037126C">
        <w:rPr>
          <w:color w:val="0000FF"/>
          <w:sz w:val="26"/>
          <w:szCs w:val="26"/>
        </w:rPr>
        <w:t xml:space="preserve"> созыва</w:t>
      </w:r>
      <w:r w:rsidR="00B51F1D" w:rsidRPr="0037126C">
        <w:rPr>
          <w:color w:val="0000FF"/>
          <w:sz w:val="26"/>
          <w:szCs w:val="26"/>
        </w:rPr>
        <w:t xml:space="preserve">   </w:t>
      </w:r>
    </w:p>
    <w:p w:rsidR="00145228" w:rsidRPr="00680CC9" w:rsidRDefault="00145228" w:rsidP="00145228">
      <w:pPr>
        <w:jc w:val="both"/>
        <w:rPr>
          <w:sz w:val="26"/>
          <w:szCs w:val="26"/>
        </w:rPr>
      </w:pPr>
    </w:p>
    <w:p w:rsidR="00145228" w:rsidRPr="0037126C" w:rsidRDefault="00145228" w:rsidP="00145228">
      <w:pPr>
        <w:jc w:val="both"/>
        <w:rPr>
          <w:b/>
          <w:sz w:val="26"/>
          <w:szCs w:val="26"/>
          <w:u w:val="single"/>
        </w:rPr>
      </w:pPr>
      <w:r w:rsidRPr="0037126C">
        <w:rPr>
          <w:b/>
          <w:sz w:val="26"/>
          <w:szCs w:val="26"/>
          <w:u w:val="single"/>
        </w:rPr>
        <w:t xml:space="preserve">№  </w:t>
      </w:r>
      <w:r w:rsidR="00C57C5B">
        <w:rPr>
          <w:b/>
          <w:sz w:val="26"/>
          <w:szCs w:val="26"/>
          <w:u w:val="single"/>
        </w:rPr>
        <w:t>1</w:t>
      </w:r>
      <w:r w:rsidR="00A21586">
        <w:rPr>
          <w:b/>
          <w:sz w:val="26"/>
          <w:szCs w:val="26"/>
          <w:u w:val="single"/>
        </w:rPr>
        <w:t>3</w:t>
      </w:r>
      <w:r w:rsidR="00776565">
        <w:rPr>
          <w:b/>
          <w:sz w:val="26"/>
          <w:szCs w:val="26"/>
          <w:u w:val="single"/>
        </w:rPr>
        <w:t>-0</w:t>
      </w:r>
      <w:r w:rsidR="00A076E0">
        <w:rPr>
          <w:b/>
          <w:sz w:val="26"/>
          <w:szCs w:val="26"/>
          <w:u w:val="single"/>
        </w:rPr>
        <w:t>6</w:t>
      </w:r>
      <w:r w:rsidR="00C46705">
        <w:rPr>
          <w:b/>
          <w:sz w:val="26"/>
          <w:szCs w:val="26"/>
          <w:u w:val="single"/>
        </w:rPr>
        <w:t xml:space="preserve"> </w:t>
      </w:r>
      <w:r w:rsidRPr="0037126C">
        <w:rPr>
          <w:sz w:val="26"/>
          <w:szCs w:val="26"/>
        </w:rPr>
        <w:t xml:space="preserve">               </w:t>
      </w:r>
      <w:r w:rsidR="00BD0BDB" w:rsidRPr="0037126C">
        <w:rPr>
          <w:sz w:val="26"/>
          <w:szCs w:val="26"/>
        </w:rPr>
        <w:t xml:space="preserve">     </w:t>
      </w:r>
      <w:r w:rsidR="004738A0">
        <w:rPr>
          <w:b/>
          <w:sz w:val="26"/>
          <w:szCs w:val="26"/>
        </w:rPr>
        <w:t xml:space="preserve">         </w:t>
      </w:r>
      <w:r w:rsidR="00A076E0">
        <w:rPr>
          <w:b/>
          <w:sz w:val="26"/>
          <w:szCs w:val="26"/>
        </w:rPr>
        <w:t xml:space="preserve">       </w:t>
      </w:r>
      <w:r w:rsidR="008D3377" w:rsidRPr="0037126C">
        <w:rPr>
          <w:b/>
          <w:sz w:val="26"/>
          <w:szCs w:val="26"/>
        </w:rPr>
        <w:t xml:space="preserve">  </w:t>
      </w:r>
      <w:r w:rsidRPr="0037126C">
        <w:rPr>
          <w:b/>
          <w:sz w:val="26"/>
          <w:szCs w:val="26"/>
        </w:rPr>
        <w:t xml:space="preserve">      </w:t>
      </w:r>
      <w:proofErr w:type="spellStart"/>
      <w:r w:rsidRPr="0037126C">
        <w:rPr>
          <w:b/>
          <w:sz w:val="26"/>
          <w:szCs w:val="26"/>
        </w:rPr>
        <w:t>с</w:t>
      </w:r>
      <w:proofErr w:type="gramStart"/>
      <w:r w:rsidRPr="0037126C">
        <w:rPr>
          <w:b/>
          <w:sz w:val="26"/>
          <w:szCs w:val="26"/>
        </w:rPr>
        <w:t>.С</w:t>
      </w:r>
      <w:proofErr w:type="gramEnd"/>
      <w:r w:rsidRPr="0037126C">
        <w:rPr>
          <w:b/>
          <w:sz w:val="26"/>
          <w:szCs w:val="26"/>
        </w:rPr>
        <w:t>оузга</w:t>
      </w:r>
      <w:proofErr w:type="spellEnd"/>
      <w:r w:rsidRPr="0037126C">
        <w:rPr>
          <w:sz w:val="26"/>
          <w:szCs w:val="26"/>
        </w:rPr>
        <w:t xml:space="preserve">     </w:t>
      </w:r>
      <w:r w:rsidR="00C57C5B">
        <w:rPr>
          <w:sz w:val="26"/>
          <w:szCs w:val="26"/>
        </w:rPr>
        <w:t xml:space="preserve">                              </w:t>
      </w:r>
      <w:r w:rsidRPr="0037126C">
        <w:rPr>
          <w:sz w:val="26"/>
          <w:szCs w:val="26"/>
        </w:rPr>
        <w:t xml:space="preserve">   </w:t>
      </w:r>
      <w:r w:rsidRPr="0037126C">
        <w:rPr>
          <w:b/>
          <w:sz w:val="26"/>
          <w:szCs w:val="26"/>
          <w:u w:val="single"/>
        </w:rPr>
        <w:t xml:space="preserve">от  </w:t>
      </w:r>
      <w:r w:rsidR="00C46705">
        <w:rPr>
          <w:b/>
          <w:sz w:val="26"/>
          <w:szCs w:val="26"/>
          <w:u w:val="single"/>
        </w:rPr>
        <w:t xml:space="preserve"> </w:t>
      </w:r>
      <w:r w:rsidR="00A95C79">
        <w:rPr>
          <w:b/>
          <w:sz w:val="26"/>
          <w:szCs w:val="26"/>
          <w:u w:val="single"/>
        </w:rPr>
        <w:t xml:space="preserve"> </w:t>
      </w:r>
      <w:r w:rsidR="00A076E0">
        <w:rPr>
          <w:b/>
          <w:sz w:val="26"/>
          <w:szCs w:val="26"/>
          <w:u w:val="single"/>
        </w:rPr>
        <w:t>22.11.</w:t>
      </w:r>
      <w:r w:rsidR="00A95C79">
        <w:rPr>
          <w:b/>
          <w:sz w:val="26"/>
          <w:szCs w:val="26"/>
          <w:u w:val="single"/>
        </w:rPr>
        <w:t xml:space="preserve"> 2019</w:t>
      </w:r>
      <w:r w:rsidR="002E60C9">
        <w:rPr>
          <w:b/>
          <w:sz w:val="26"/>
          <w:szCs w:val="26"/>
          <w:u w:val="single"/>
        </w:rPr>
        <w:t>г</w:t>
      </w:r>
      <w:r w:rsidR="003D2CAA" w:rsidRPr="0037126C">
        <w:rPr>
          <w:b/>
          <w:sz w:val="26"/>
          <w:szCs w:val="26"/>
          <w:u w:val="single"/>
        </w:rPr>
        <w:t>.</w:t>
      </w:r>
    </w:p>
    <w:p w:rsidR="00A076E0" w:rsidRDefault="00A076E0" w:rsidP="00A21586">
      <w:pPr>
        <w:pStyle w:val="af"/>
        <w:rPr>
          <w:rFonts w:ascii="Times New Roman" w:hAnsi="Times New Roman"/>
          <w:sz w:val="26"/>
          <w:szCs w:val="26"/>
        </w:rPr>
      </w:pPr>
    </w:p>
    <w:p w:rsidR="00A21586" w:rsidRPr="00A076E0" w:rsidRDefault="00A21586" w:rsidP="00A076E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076E0">
        <w:rPr>
          <w:rFonts w:ascii="Times New Roman" w:hAnsi="Times New Roman"/>
          <w:b/>
          <w:sz w:val="26"/>
          <w:szCs w:val="26"/>
        </w:rPr>
        <w:t xml:space="preserve">О налоге на имущество физических лиц  </w:t>
      </w:r>
      <w:proofErr w:type="gramStart"/>
      <w:r w:rsidRPr="00A076E0">
        <w:rPr>
          <w:rFonts w:ascii="Times New Roman" w:hAnsi="Times New Roman"/>
          <w:b/>
          <w:sz w:val="26"/>
          <w:szCs w:val="26"/>
        </w:rPr>
        <w:t>на</w:t>
      </w:r>
      <w:proofErr w:type="gramEnd"/>
    </w:p>
    <w:p w:rsidR="00A21586" w:rsidRPr="00A076E0" w:rsidRDefault="00A21586" w:rsidP="00A076E0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076E0">
        <w:rPr>
          <w:rFonts w:ascii="Times New Roman" w:hAnsi="Times New Roman"/>
          <w:b/>
          <w:sz w:val="26"/>
          <w:szCs w:val="26"/>
        </w:rPr>
        <w:t>территории Соузгинского сельского поселения</w:t>
      </w:r>
    </w:p>
    <w:p w:rsidR="00A059DE" w:rsidRDefault="00A059DE" w:rsidP="00A059DE">
      <w:pPr>
        <w:jc w:val="both"/>
        <w:rPr>
          <w:sz w:val="26"/>
          <w:szCs w:val="26"/>
        </w:rPr>
      </w:pPr>
      <w:r w:rsidRPr="00AB5843">
        <w:rPr>
          <w:sz w:val="26"/>
          <w:szCs w:val="26"/>
        </w:rPr>
        <w:tab/>
      </w:r>
    </w:p>
    <w:p w:rsidR="00A059DE" w:rsidRPr="00A21586" w:rsidRDefault="00A059DE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B5843">
        <w:rPr>
          <w:sz w:val="26"/>
          <w:szCs w:val="26"/>
        </w:rPr>
        <w:tab/>
      </w:r>
      <w:proofErr w:type="gramStart"/>
      <w:r w:rsidR="00A21586" w:rsidRPr="00A21586">
        <w:rPr>
          <w:rFonts w:ascii="Times New Roman" w:hAnsi="Times New Roman"/>
          <w:sz w:val="26"/>
          <w:szCs w:val="26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A21586">
        <w:rPr>
          <w:rFonts w:ascii="Times New Roman" w:hAnsi="Times New Roman"/>
          <w:sz w:val="26"/>
          <w:szCs w:val="26"/>
        </w:rPr>
        <w:t>Уставом муниципального образования «Соузгинское сельское поселение</w:t>
      </w:r>
      <w:proofErr w:type="gramEnd"/>
      <w:r w:rsidRPr="00A21586">
        <w:rPr>
          <w:rFonts w:ascii="Times New Roman" w:hAnsi="Times New Roman"/>
          <w:sz w:val="26"/>
          <w:szCs w:val="26"/>
        </w:rPr>
        <w:t>»</w:t>
      </w:r>
      <w:r w:rsidR="00AB5843" w:rsidRPr="00A21586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AB5843" w:rsidRPr="00A21586">
        <w:rPr>
          <w:rFonts w:ascii="Times New Roman" w:hAnsi="Times New Roman"/>
          <w:sz w:val="26"/>
          <w:szCs w:val="26"/>
        </w:rPr>
        <w:t>Соузгинский</w:t>
      </w:r>
      <w:proofErr w:type="spellEnd"/>
      <w:r w:rsidR="00AB5843" w:rsidRPr="00A21586">
        <w:rPr>
          <w:rFonts w:ascii="Times New Roman" w:hAnsi="Times New Roman"/>
          <w:sz w:val="26"/>
          <w:szCs w:val="26"/>
        </w:rPr>
        <w:t xml:space="preserve"> Совет </w:t>
      </w:r>
      <w:r w:rsidRPr="00A21586">
        <w:rPr>
          <w:rFonts w:ascii="Times New Roman" w:hAnsi="Times New Roman"/>
          <w:sz w:val="26"/>
          <w:szCs w:val="26"/>
        </w:rPr>
        <w:t>депутатов</w:t>
      </w:r>
      <w:r w:rsidR="00AB5843" w:rsidRPr="00A21586">
        <w:rPr>
          <w:rFonts w:ascii="Times New Roman" w:hAnsi="Times New Roman"/>
          <w:sz w:val="26"/>
          <w:szCs w:val="26"/>
        </w:rPr>
        <w:t xml:space="preserve">  </w:t>
      </w:r>
      <w:r w:rsidRPr="00A21586">
        <w:rPr>
          <w:rFonts w:ascii="Times New Roman" w:hAnsi="Times New Roman"/>
          <w:b/>
          <w:sz w:val="26"/>
          <w:szCs w:val="26"/>
        </w:rPr>
        <w:t>РЕШИЛ</w:t>
      </w:r>
      <w:r w:rsidRPr="00A21586">
        <w:rPr>
          <w:rFonts w:ascii="Times New Roman" w:hAnsi="Times New Roman"/>
          <w:sz w:val="26"/>
          <w:szCs w:val="26"/>
        </w:rPr>
        <w:t>:</w:t>
      </w:r>
    </w:p>
    <w:p w:rsidR="00AB5843" w:rsidRPr="00727FDE" w:rsidRDefault="00AB5843" w:rsidP="00AB5843">
      <w:pPr>
        <w:jc w:val="center"/>
        <w:rPr>
          <w:sz w:val="26"/>
          <w:szCs w:val="26"/>
        </w:rPr>
      </w:pPr>
    </w:p>
    <w:p w:rsidR="00A21586" w:rsidRDefault="00A21586" w:rsidP="00A21586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val="ru-RU"/>
        </w:rPr>
      </w:pPr>
      <w:r w:rsidRPr="00A21586">
        <w:rPr>
          <w:sz w:val="26"/>
          <w:szCs w:val="26"/>
          <w:lang w:val="ru-RU"/>
        </w:rPr>
        <w:t xml:space="preserve">Установить и ввести в действие с 1 января 2020 года налог на имущество физических лиц (далее - налог), обязательный к уплате на территории </w:t>
      </w:r>
      <w:r>
        <w:rPr>
          <w:sz w:val="26"/>
          <w:szCs w:val="26"/>
          <w:lang w:val="ru-RU"/>
        </w:rPr>
        <w:t xml:space="preserve">Соузгинского </w:t>
      </w:r>
      <w:r w:rsidRPr="00A21586">
        <w:rPr>
          <w:sz w:val="26"/>
          <w:szCs w:val="26"/>
          <w:lang w:val="ru-RU"/>
        </w:rPr>
        <w:t xml:space="preserve"> сельского поселения.</w:t>
      </w:r>
    </w:p>
    <w:p w:rsidR="00746F5F" w:rsidRDefault="00A21586" w:rsidP="00746F5F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val="ru-RU"/>
        </w:rPr>
      </w:pPr>
      <w:r w:rsidRPr="00746F5F">
        <w:rPr>
          <w:sz w:val="26"/>
          <w:szCs w:val="26"/>
          <w:lang w:val="ru-RU"/>
        </w:rPr>
        <w:t>Установить налоговые ставки по налогу в следующих размерах:</w:t>
      </w:r>
    </w:p>
    <w:p w:rsidR="009C0DCE" w:rsidRPr="00746F5F" w:rsidRDefault="009C0DCE" w:rsidP="009C0DCE">
      <w:pPr>
        <w:pStyle w:val="ac"/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  <w:lang w:val="ru-RU"/>
        </w:rPr>
      </w:pPr>
    </w:p>
    <w:tbl>
      <w:tblPr>
        <w:tblStyle w:val="a3"/>
        <w:tblW w:w="9492" w:type="dxa"/>
        <w:tblLook w:val="04A0"/>
      </w:tblPr>
      <w:tblGrid>
        <w:gridCol w:w="988"/>
        <w:gridCol w:w="6945"/>
        <w:gridCol w:w="1559"/>
      </w:tblGrid>
      <w:tr w:rsidR="00746F5F" w:rsidTr="00746F5F">
        <w:tc>
          <w:tcPr>
            <w:tcW w:w="988" w:type="dxa"/>
          </w:tcPr>
          <w:p w:rsidR="00746F5F" w:rsidRPr="009C0DCE" w:rsidRDefault="00746F5F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9C0DC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945" w:type="dxa"/>
          </w:tcPr>
          <w:p w:rsidR="00746F5F" w:rsidRPr="009C0DCE" w:rsidRDefault="00746F5F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9C0DCE">
              <w:rPr>
                <w:b/>
                <w:sz w:val="26"/>
                <w:szCs w:val="26"/>
              </w:rPr>
              <w:t xml:space="preserve">Объект </w:t>
            </w:r>
            <w:proofErr w:type="spellStart"/>
            <w:r w:rsidRPr="009C0DCE">
              <w:rPr>
                <w:b/>
                <w:sz w:val="26"/>
                <w:szCs w:val="26"/>
              </w:rPr>
              <w:t>налогооблажения</w:t>
            </w:r>
            <w:proofErr w:type="spellEnd"/>
          </w:p>
        </w:tc>
        <w:tc>
          <w:tcPr>
            <w:tcW w:w="1559" w:type="dxa"/>
          </w:tcPr>
          <w:p w:rsidR="00746F5F" w:rsidRPr="009C0DCE" w:rsidRDefault="00746F5F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9C0DCE">
              <w:rPr>
                <w:b/>
                <w:sz w:val="26"/>
                <w:szCs w:val="26"/>
              </w:rPr>
              <w:t>Налоговая ставка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t>0,2%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>квартира, часть жилого дома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t>0,2%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>комната, часть квартиры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t>0,2%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t>0,2%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t>0,2%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 xml:space="preserve">гараж, </w:t>
            </w:r>
            <w:proofErr w:type="spellStart"/>
            <w:r w:rsidRPr="00A21586">
              <w:rPr>
                <w:sz w:val="26"/>
                <w:szCs w:val="26"/>
              </w:rPr>
              <w:t>машино-место</w:t>
            </w:r>
            <w:proofErr w:type="spellEnd"/>
            <w:r w:rsidRPr="00A21586">
              <w:rPr>
                <w:sz w:val="26"/>
                <w:szCs w:val="26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t>0,2%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45" w:type="dxa"/>
          </w:tcPr>
          <w:p w:rsidR="009C0DCE" w:rsidRPr="00A21586" w:rsidRDefault="009C0DCE" w:rsidP="001367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t>0,2%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  <w:r w:rsidRPr="00A21586">
              <w:rPr>
                <w:sz w:val="26"/>
                <w:szCs w:val="26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7" w:anchor="dst9219" w:history="1">
              <w:r w:rsidRPr="00A21586">
                <w:rPr>
                  <w:rStyle w:val="af0"/>
                  <w:rFonts w:eastAsia="Arial Unicode MS"/>
                  <w:sz w:val="26"/>
                  <w:szCs w:val="26"/>
                  <w:shd w:val="clear" w:color="auto" w:fill="FFFFFF"/>
                </w:rPr>
                <w:t>пунктом 7 статьи 378.2</w:t>
              </w:r>
            </w:hyperlink>
            <w:r w:rsidRPr="00A21586">
              <w:rPr>
                <w:sz w:val="26"/>
                <w:szCs w:val="26"/>
                <w:shd w:val="clear" w:color="auto" w:fill="FFFFFF"/>
              </w:rPr>
              <w:t> Кодекса, объект налогообложения, предусмотренный </w:t>
            </w:r>
            <w:hyperlink r:id="rId8" w:anchor="dst13986" w:history="1">
              <w:r w:rsidRPr="00A21586">
                <w:rPr>
                  <w:rStyle w:val="af0"/>
                  <w:rFonts w:eastAsia="Arial Unicode MS"/>
                  <w:sz w:val="26"/>
                  <w:szCs w:val="26"/>
                  <w:shd w:val="clear" w:color="auto" w:fill="FFFFFF"/>
                </w:rPr>
                <w:t xml:space="preserve">абзацем вторым пункта 10 статьи </w:t>
              </w:r>
              <w:r w:rsidRPr="00A21586">
                <w:rPr>
                  <w:rStyle w:val="af0"/>
                  <w:rFonts w:eastAsia="Arial Unicode MS"/>
                  <w:sz w:val="26"/>
                  <w:szCs w:val="26"/>
                  <w:shd w:val="clear" w:color="auto" w:fill="FFFFFF"/>
                </w:rPr>
                <w:lastRenderedPageBreak/>
                <w:t>378.2</w:t>
              </w:r>
            </w:hyperlink>
            <w:r w:rsidRPr="00A21586">
              <w:rPr>
                <w:sz w:val="26"/>
                <w:szCs w:val="26"/>
                <w:shd w:val="clear" w:color="auto" w:fill="FFFFFF"/>
              </w:rPr>
              <w:t> Кодекса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07418">
              <w:rPr>
                <w:sz w:val="26"/>
                <w:szCs w:val="26"/>
              </w:rPr>
              <w:lastRenderedPageBreak/>
              <w:t>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 w:rsidRPr="00B234F9">
              <w:rPr>
                <w:sz w:val="26"/>
                <w:szCs w:val="26"/>
              </w:rPr>
              <w:t>2%</w:t>
            </w:r>
          </w:p>
        </w:tc>
      </w:tr>
      <w:tr w:rsidR="009C0DCE" w:rsidTr="00746F5F">
        <w:tc>
          <w:tcPr>
            <w:tcW w:w="988" w:type="dxa"/>
          </w:tcPr>
          <w:p w:rsidR="009C0DCE" w:rsidRDefault="009C0DCE" w:rsidP="009C0DC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45" w:type="dxa"/>
          </w:tcPr>
          <w:p w:rsidR="009C0DCE" w:rsidRPr="00A21586" w:rsidRDefault="009C0DCE" w:rsidP="009C0D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1586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9C0DCE" w:rsidRDefault="009C0DCE" w:rsidP="009C0DCE">
            <w:pPr>
              <w:jc w:val="center"/>
            </w:pPr>
            <w:r>
              <w:rPr>
                <w:sz w:val="26"/>
                <w:szCs w:val="26"/>
              </w:rPr>
              <w:t>0,5</w:t>
            </w:r>
            <w:r w:rsidRPr="00B234F9">
              <w:rPr>
                <w:sz w:val="26"/>
                <w:szCs w:val="26"/>
              </w:rPr>
              <w:t>%</w:t>
            </w:r>
          </w:p>
        </w:tc>
      </w:tr>
    </w:tbl>
    <w:p w:rsidR="00746F5F" w:rsidRPr="00746F5F" w:rsidRDefault="00746F5F" w:rsidP="00746F5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1586" w:rsidRPr="00A21586" w:rsidRDefault="00A21586" w:rsidP="00A21586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proofErr w:type="spellStart"/>
      <w:r w:rsidRPr="00A21586">
        <w:rPr>
          <w:sz w:val="26"/>
          <w:szCs w:val="26"/>
        </w:rPr>
        <w:t>Налоговые</w:t>
      </w:r>
      <w:proofErr w:type="spellEnd"/>
      <w:r w:rsidRPr="00A21586">
        <w:rPr>
          <w:sz w:val="26"/>
          <w:szCs w:val="26"/>
        </w:rPr>
        <w:t xml:space="preserve"> </w:t>
      </w:r>
      <w:proofErr w:type="spellStart"/>
      <w:r w:rsidRPr="00A21586">
        <w:rPr>
          <w:sz w:val="26"/>
          <w:szCs w:val="26"/>
        </w:rPr>
        <w:t>льготы</w:t>
      </w:r>
      <w:proofErr w:type="spellEnd"/>
      <w:r w:rsidRPr="00A21586">
        <w:rPr>
          <w:sz w:val="26"/>
          <w:szCs w:val="26"/>
        </w:rPr>
        <w:t xml:space="preserve"> :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t xml:space="preserve">       </w:t>
      </w:r>
      <w:r w:rsidRPr="00A21586">
        <w:rPr>
          <w:rFonts w:ascii="Times New Roman" w:hAnsi="Times New Roman"/>
          <w:sz w:val="26"/>
          <w:szCs w:val="26"/>
        </w:rPr>
        <w:t>3.1. Установить, что налоговые льготы, установленные в соответствии со ст.407 Налогового Кодекса Российской Федерации, действуют в полном объеме.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1586">
        <w:rPr>
          <w:rFonts w:ascii="Times New Roman" w:hAnsi="Times New Roman"/>
          <w:sz w:val="26"/>
          <w:szCs w:val="26"/>
        </w:rPr>
        <w:t xml:space="preserve">     3.2.Дополнительно от </w:t>
      </w:r>
      <w:r w:rsidRPr="00786183">
        <w:rPr>
          <w:rFonts w:ascii="Times New Roman" w:hAnsi="Times New Roman"/>
          <w:sz w:val="26"/>
          <w:szCs w:val="26"/>
        </w:rPr>
        <w:t xml:space="preserve">уплаты налога на имущество физических лиц освобождаются граждане, проживающие на территории </w:t>
      </w:r>
      <w:r w:rsidR="009C0DCE" w:rsidRPr="00786183">
        <w:rPr>
          <w:rFonts w:ascii="Times New Roman" w:hAnsi="Times New Roman"/>
          <w:sz w:val="26"/>
          <w:szCs w:val="26"/>
        </w:rPr>
        <w:t>Соузгинского</w:t>
      </w:r>
      <w:r w:rsidRPr="00786183">
        <w:rPr>
          <w:rFonts w:ascii="Times New Roman" w:hAnsi="Times New Roman"/>
          <w:sz w:val="26"/>
          <w:szCs w:val="26"/>
        </w:rPr>
        <w:t xml:space="preserve"> сельского поселения, имеющи</w:t>
      </w:r>
      <w:r w:rsidR="00927A1B" w:rsidRPr="00786183">
        <w:rPr>
          <w:rFonts w:ascii="Times New Roman" w:hAnsi="Times New Roman"/>
          <w:sz w:val="26"/>
          <w:szCs w:val="26"/>
        </w:rPr>
        <w:t>е</w:t>
      </w:r>
      <w:r w:rsidRPr="00786183">
        <w:rPr>
          <w:rFonts w:ascii="Times New Roman" w:hAnsi="Times New Roman"/>
          <w:sz w:val="26"/>
          <w:szCs w:val="26"/>
        </w:rPr>
        <w:t xml:space="preserve"> детей-инвалидов, совместно проживающих с ними до достижения возраста</w:t>
      </w:r>
      <w:r w:rsidR="009C0DCE" w:rsidRPr="00786183">
        <w:rPr>
          <w:rFonts w:ascii="Times New Roman" w:hAnsi="Times New Roman"/>
          <w:sz w:val="26"/>
          <w:szCs w:val="26"/>
        </w:rPr>
        <w:t xml:space="preserve"> 16 лет, и</w:t>
      </w:r>
      <w:r w:rsidRPr="00786183">
        <w:rPr>
          <w:rFonts w:ascii="Times New Roman" w:hAnsi="Times New Roman"/>
          <w:sz w:val="26"/>
          <w:szCs w:val="26"/>
        </w:rPr>
        <w:t xml:space="preserve"> обучающихся в образовательном учреждении до 18 лет.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1586">
        <w:rPr>
          <w:rFonts w:ascii="Times New Roman" w:hAnsi="Times New Roman"/>
          <w:sz w:val="26"/>
          <w:szCs w:val="26"/>
        </w:rPr>
        <w:t xml:space="preserve">      Лицо, имеющее право на освобождение от уплаты налога, предоставляет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1586">
        <w:rPr>
          <w:rFonts w:ascii="Times New Roman" w:hAnsi="Times New Roman"/>
          <w:sz w:val="26"/>
          <w:szCs w:val="26"/>
        </w:rPr>
        <w:t>заявление и следующие документы, подтверждающие право налогоплательщика на освобождение от уплаты налога</w:t>
      </w:r>
      <w:proofErr w:type="gramStart"/>
      <w:r w:rsidRPr="00A21586">
        <w:rPr>
          <w:rFonts w:ascii="Times New Roman" w:hAnsi="Times New Roman"/>
          <w:sz w:val="26"/>
          <w:szCs w:val="26"/>
        </w:rPr>
        <w:t xml:space="preserve">  :</w:t>
      </w:r>
      <w:proofErr w:type="gramEnd"/>
      <w:r w:rsidRPr="00A21586">
        <w:rPr>
          <w:rFonts w:ascii="Times New Roman" w:hAnsi="Times New Roman"/>
          <w:sz w:val="26"/>
          <w:szCs w:val="26"/>
        </w:rPr>
        <w:t xml:space="preserve"> 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1586">
        <w:rPr>
          <w:rFonts w:ascii="Times New Roman" w:hAnsi="Times New Roman"/>
          <w:sz w:val="26"/>
          <w:szCs w:val="26"/>
        </w:rPr>
        <w:t>- копию свидетельства о рождении ребенка-инвалида;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1586">
        <w:rPr>
          <w:rFonts w:ascii="Times New Roman" w:hAnsi="Times New Roman"/>
          <w:sz w:val="26"/>
          <w:szCs w:val="26"/>
        </w:rPr>
        <w:t>- справку о составе семьи;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1586">
        <w:rPr>
          <w:rFonts w:ascii="Times New Roman" w:hAnsi="Times New Roman"/>
          <w:sz w:val="26"/>
          <w:szCs w:val="26"/>
        </w:rPr>
        <w:t>- справку из учебного заведения.</w:t>
      </w:r>
    </w:p>
    <w:p w:rsidR="00A21586" w:rsidRPr="00A21586" w:rsidRDefault="00A21586" w:rsidP="00A21586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A21586">
        <w:rPr>
          <w:rFonts w:ascii="Times New Roman" w:hAnsi="Times New Roman"/>
          <w:sz w:val="26"/>
          <w:szCs w:val="26"/>
        </w:rPr>
        <w:t xml:space="preserve">     Документы предоставляются в налоговой орган по своему выбору самостоятельно.</w:t>
      </w:r>
    </w:p>
    <w:p w:rsidR="00A21586" w:rsidRPr="00A21586" w:rsidRDefault="00A21586" w:rsidP="00A21586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val="ru-RU"/>
        </w:rPr>
      </w:pPr>
      <w:r w:rsidRPr="00A21586">
        <w:rPr>
          <w:bCs/>
          <w:sz w:val="26"/>
          <w:szCs w:val="26"/>
          <w:shd w:val="clear" w:color="auto" w:fill="FFFFFF"/>
          <w:lang w:val="ru-RU"/>
        </w:rPr>
        <w:t xml:space="preserve"> </w:t>
      </w:r>
      <w:r w:rsidRPr="00A21586">
        <w:rPr>
          <w:sz w:val="26"/>
          <w:szCs w:val="26"/>
          <w:lang w:val="ru-RU"/>
        </w:rPr>
        <w:t>Порядок и сроки уплаты налога установлены статьей 409 Кодекса.</w:t>
      </w:r>
    </w:p>
    <w:p w:rsidR="00A21586" w:rsidRPr="00786183" w:rsidRDefault="00A21586" w:rsidP="00786183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val="ru-RU"/>
        </w:rPr>
      </w:pPr>
      <w:r w:rsidRPr="00786183">
        <w:rPr>
          <w:sz w:val="26"/>
          <w:szCs w:val="26"/>
          <w:lang w:val="ru-RU"/>
        </w:rPr>
        <w:t xml:space="preserve"> </w:t>
      </w:r>
      <w:proofErr w:type="gramStart"/>
      <w:r w:rsidR="00786183" w:rsidRPr="00786183">
        <w:rPr>
          <w:sz w:val="26"/>
          <w:szCs w:val="26"/>
          <w:lang w:val="ru-RU"/>
        </w:rPr>
        <w:t>Решения</w:t>
      </w:r>
      <w:r w:rsidRPr="00786183">
        <w:rPr>
          <w:sz w:val="26"/>
          <w:szCs w:val="26"/>
          <w:lang w:val="ru-RU"/>
        </w:rPr>
        <w:t xml:space="preserve"> </w:t>
      </w:r>
      <w:r w:rsidR="00786183" w:rsidRPr="00786183">
        <w:rPr>
          <w:sz w:val="26"/>
          <w:szCs w:val="26"/>
          <w:lang w:val="ru-RU"/>
        </w:rPr>
        <w:t xml:space="preserve">Соузгинского </w:t>
      </w:r>
      <w:r w:rsidRPr="00786183">
        <w:rPr>
          <w:sz w:val="26"/>
          <w:szCs w:val="26"/>
          <w:lang w:val="ru-RU"/>
        </w:rPr>
        <w:t>сельского Совета депутатов от 1</w:t>
      </w:r>
      <w:r w:rsidR="00786183" w:rsidRPr="00786183">
        <w:rPr>
          <w:sz w:val="26"/>
          <w:szCs w:val="26"/>
          <w:lang w:val="ru-RU"/>
        </w:rPr>
        <w:t>4</w:t>
      </w:r>
      <w:r w:rsidRPr="00786183">
        <w:rPr>
          <w:sz w:val="26"/>
          <w:szCs w:val="26"/>
          <w:lang w:val="ru-RU"/>
        </w:rPr>
        <w:t>.11.201</w:t>
      </w:r>
      <w:r w:rsidR="00786183" w:rsidRPr="00786183">
        <w:rPr>
          <w:sz w:val="26"/>
          <w:szCs w:val="26"/>
          <w:lang w:val="ru-RU"/>
        </w:rPr>
        <w:t>6 г № 30</w:t>
      </w:r>
      <w:r w:rsidRPr="00786183">
        <w:rPr>
          <w:sz w:val="26"/>
          <w:szCs w:val="26"/>
          <w:lang w:val="ru-RU"/>
        </w:rPr>
        <w:t>-</w:t>
      </w:r>
      <w:r w:rsidR="00786183" w:rsidRPr="00786183">
        <w:rPr>
          <w:sz w:val="26"/>
          <w:szCs w:val="26"/>
          <w:lang w:val="ru-RU"/>
        </w:rPr>
        <w:t>3</w:t>
      </w:r>
      <w:r w:rsidRPr="00786183">
        <w:rPr>
          <w:sz w:val="26"/>
          <w:szCs w:val="26"/>
          <w:lang w:val="ru-RU"/>
        </w:rPr>
        <w:t xml:space="preserve"> «О</w:t>
      </w:r>
      <w:r w:rsidR="00786183" w:rsidRPr="00786183">
        <w:rPr>
          <w:sz w:val="26"/>
          <w:szCs w:val="26"/>
          <w:lang w:val="ru-RU"/>
        </w:rPr>
        <w:t xml:space="preserve"> налоге на имущество физических лиц </w:t>
      </w:r>
      <w:r w:rsidRPr="00786183">
        <w:rPr>
          <w:sz w:val="26"/>
          <w:szCs w:val="26"/>
          <w:lang w:val="ru-RU"/>
        </w:rPr>
        <w:t xml:space="preserve">на территории </w:t>
      </w:r>
      <w:r w:rsidR="00786183" w:rsidRPr="00786183">
        <w:rPr>
          <w:sz w:val="26"/>
          <w:szCs w:val="26"/>
          <w:lang w:val="ru-RU"/>
        </w:rPr>
        <w:t xml:space="preserve">муниципального образования </w:t>
      </w:r>
      <w:r w:rsidRPr="00786183">
        <w:rPr>
          <w:sz w:val="26"/>
          <w:szCs w:val="26"/>
          <w:lang w:val="ru-RU"/>
        </w:rPr>
        <w:t xml:space="preserve"> «</w:t>
      </w:r>
      <w:r w:rsidR="00786183" w:rsidRPr="00786183">
        <w:rPr>
          <w:sz w:val="26"/>
          <w:szCs w:val="26"/>
          <w:lang w:val="ru-RU"/>
        </w:rPr>
        <w:t>Соузгинское сельское поселение», от 29.05.2018г № 40-6 «О внесение изменений в Решение Совета депутатов муниципального образования Соузгинское сельское поселение от 14.11.2016 № 30-3 «О налоге на имущество физических лиц на территории муниципального образования «Соузгинское сельское поселение»</w:t>
      </w:r>
      <w:r w:rsidR="00786183">
        <w:rPr>
          <w:sz w:val="26"/>
          <w:szCs w:val="26"/>
          <w:lang w:val="ru-RU"/>
        </w:rPr>
        <w:t xml:space="preserve"> </w:t>
      </w:r>
      <w:r w:rsidRPr="00786183">
        <w:rPr>
          <w:sz w:val="26"/>
          <w:szCs w:val="26"/>
          <w:lang w:val="ru-RU"/>
        </w:rPr>
        <w:t>признать утратившим силу с 01 января</w:t>
      </w:r>
      <w:proofErr w:type="gramEnd"/>
      <w:r w:rsidRPr="00786183">
        <w:rPr>
          <w:sz w:val="26"/>
          <w:szCs w:val="26"/>
          <w:lang w:val="ru-RU"/>
        </w:rPr>
        <w:t xml:space="preserve"> 2020 года.</w:t>
      </w:r>
    </w:p>
    <w:p w:rsidR="00A21586" w:rsidRDefault="00A21586" w:rsidP="00A21586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val="ru-RU"/>
        </w:rPr>
      </w:pPr>
      <w:r w:rsidRPr="00A21586">
        <w:rPr>
          <w:sz w:val="26"/>
          <w:szCs w:val="26"/>
          <w:lang w:val="ru-RU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21586" w:rsidRPr="00A21586" w:rsidRDefault="00A21586" w:rsidP="00A21586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  <w:lang w:val="ru-RU"/>
        </w:rPr>
      </w:pPr>
      <w:r w:rsidRPr="00A21586">
        <w:rPr>
          <w:sz w:val="26"/>
          <w:szCs w:val="26"/>
          <w:lang w:val="ru-RU"/>
        </w:rPr>
        <w:t xml:space="preserve">Настоящее решение подлежит официальному опубликованию в средствах массовой информации и на официальном сайте </w:t>
      </w:r>
      <w:r w:rsidR="00786183">
        <w:rPr>
          <w:sz w:val="26"/>
          <w:szCs w:val="26"/>
          <w:lang w:val="ru-RU"/>
        </w:rPr>
        <w:t>Соузгинского</w:t>
      </w:r>
      <w:r w:rsidRPr="00A21586">
        <w:rPr>
          <w:sz w:val="26"/>
          <w:szCs w:val="26"/>
          <w:lang w:val="ru-RU"/>
        </w:rPr>
        <w:t xml:space="preserve"> сельского поселения. </w:t>
      </w:r>
    </w:p>
    <w:p w:rsidR="002B7491" w:rsidRDefault="002B7491" w:rsidP="00DC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6183" w:rsidRPr="003F29A5" w:rsidRDefault="00786183" w:rsidP="00DC36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76E0" w:rsidRDefault="009B4DC6" w:rsidP="009F37BE">
      <w:pPr>
        <w:jc w:val="both"/>
        <w:rPr>
          <w:sz w:val="26"/>
          <w:szCs w:val="26"/>
        </w:rPr>
      </w:pPr>
      <w:r w:rsidRPr="009F37BE">
        <w:rPr>
          <w:sz w:val="26"/>
          <w:szCs w:val="26"/>
        </w:rPr>
        <w:t>Глав</w:t>
      </w:r>
      <w:r w:rsidR="002B7491">
        <w:rPr>
          <w:sz w:val="26"/>
          <w:szCs w:val="26"/>
        </w:rPr>
        <w:t>а</w:t>
      </w:r>
      <w:r w:rsidRPr="009F37BE">
        <w:rPr>
          <w:sz w:val="26"/>
          <w:szCs w:val="26"/>
        </w:rPr>
        <w:t xml:space="preserve"> </w:t>
      </w:r>
      <w:r w:rsidR="00A076E0">
        <w:rPr>
          <w:sz w:val="26"/>
          <w:szCs w:val="26"/>
        </w:rPr>
        <w:t>муниципального образования</w:t>
      </w:r>
    </w:p>
    <w:p w:rsidR="00A95C79" w:rsidRPr="00C5578D" w:rsidRDefault="009B4DC6" w:rsidP="00A21586">
      <w:pPr>
        <w:jc w:val="both"/>
        <w:rPr>
          <w:sz w:val="26"/>
          <w:szCs w:val="26"/>
        </w:rPr>
      </w:pPr>
      <w:r w:rsidRPr="009F37BE">
        <w:rPr>
          <w:sz w:val="26"/>
          <w:szCs w:val="26"/>
        </w:rPr>
        <w:t>Соузгинского</w:t>
      </w:r>
      <w:r w:rsidR="00A076E0">
        <w:rPr>
          <w:sz w:val="26"/>
          <w:szCs w:val="26"/>
        </w:rPr>
        <w:t xml:space="preserve"> сельского поселения     </w:t>
      </w:r>
      <w:r w:rsidR="009F37BE" w:rsidRPr="009F37BE">
        <w:rPr>
          <w:sz w:val="26"/>
          <w:szCs w:val="26"/>
        </w:rPr>
        <w:t xml:space="preserve">           </w:t>
      </w:r>
      <w:r w:rsidR="00A076E0">
        <w:rPr>
          <w:sz w:val="26"/>
          <w:szCs w:val="26"/>
        </w:rPr>
        <w:t xml:space="preserve">    </w:t>
      </w:r>
      <w:r w:rsidR="009F37BE" w:rsidRPr="009F37BE">
        <w:rPr>
          <w:sz w:val="26"/>
          <w:szCs w:val="26"/>
        </w:rPr>
        <w:t xml:space="preserve">      </w:t>
      </w:r>
      <w:r w:rsidR="009F37BE">
        <w:rPr>
          <w:sz w:val="26"/>
          <w:szCs w:val="26"/>
        </w:rPr>
        <w:t xml:space="preserve">            </w:t>
      </w:r>
      <w:r w:rsidR="009F37BE" w:rsidRPr="009F37BE">
        <w:rPr>
          <w:sz w:val="26"/>
          <w:szCs w:val="26"/>
        </w:rPr>
        <w:t xml:space="preserve">           </w:t>
      </w:r>
      <w:r w:rsidR="002B7491">
        <w:rPr>
          <w:sz w:val="26"/>
          <w:szCs w:val="26"/>
        </w:rPr>
        <w:t xml:space="preserve">    </w:t>
      </w:r>
      <w:r w:rsidR="009F37BE" w:rsidRPr="009F37BE">
        <w:rPr>
          <w:sz w:val="26"/>
          <w:szCs w:val="26"/>
        </w:rPr>
        <w:t>В.</w:t>
      </w:r>
      <w:r w:rsidR="002B7491">
        <w:rPr>
          <w:sz w:val="26"/>
          <w:szCs w:val="26"/>
        </w:rPr>
        <w:t>П</w:t>
      </w:r>
      <w:r w:rsidR="009F37BE" w:rsidRPr="009F37BE">
        <w:rPr>
          <w:sz w:val="26"/>
          <w:szCs w:val="26"/>
        </w:rPr>
        <w:t xml:space="preserve">. </w:t>
      </w:r>
      <w:proofErr w:type="spellStart"/>
      <w:r w:rsidR="002B7491">
        <w:rPr>
          <w:sz w:val="26"/>
          <w:szCs w:val="26"/>
        </w:rPr>
        <w:t>Майман</w:t>
      </w:r>
      <w:r w:rsidR="009F37BE" w:rsidRPr="009F37BE">
        <w:rPr>
          <w:sz w:val="26"/>
          <w:szCs w:val="26"/>
        </w:rPr>
        <w:t>ов</w:t>
      </w:r>
      <w:proofErr w:type="spellEnd"/>
    </w:p>
    <w:sectPr w:rsidR="00A95C79" w:rsidRPr="00C5578D" w:rsidSect="009D6424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04" w:rsidRDefault="00255A04">
      <w:r>
        <w:separator/>
      </w:r>
    </w:p>
  </w:endnote>
  <w:endnote w:type="continuationSeparator" w:id="0">
    <w:p w:rsidR="00255A04" w:rsidRDefault="0025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04" w:rsidRDefault="00255A04">
      <w:r>
        <w:separator/>
      </w:r>
    </w:p>
  </w:footnote>
  <w:footnote w:type="continuationSeparator" w:id="0">
    <w:p w:rsidR="00255A04" w:rsidRDefault="0025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DE" w:rsidRDefault="00A904BC" w:rsidP="00A265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F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FDE" w:rsidRDefault="00727F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DE" w:rsidRDefault="00727FDE" w:rsidP="00A265F1">
    <w:pPr>
      <w:pStyle w:val="a8"/>
      <w:framePr w:wrap="around" w:vAnchor="text" w:hAnchor="margin" w:xAlign="center" w:y="1"/>
      <w:rPr>
        <w:rStyle w:val="a9"/>
      </w:rPr>
    </w:pPr>
  </w:p>
  <w:p w:rsidR="00727FDE" w:rsidRDefault="00727F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B79"/>
    <w:multiLevelType w:val="hybridMultilevel"/>
    <w:tmpl w:val="5C14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F277E"/>
    <w:multiLevelType w:val="hybridMultilevel"/>
    <w:tmpl w:val="8D3C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2C4C"/>
    <w:multiLevelType w:val="hybridMultilevel"/>
    <w:tmpl w:val="47BED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51A37"/>
    <w:multiLevelType w:val="hybridMultilevel"/>
    <w:tmpl w:val="4B84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236FC"/>
    <w:multiLevelType w:val="multilevel"/>
    <w:tmpl w:val="EF14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4071033"/>
    <w:multiLevelType w:val="hybridMultilevel"/>
    <w:tmpl w:val="261C4F0A"/>
    <w:lvl w:ilvl="0" w:tplc="1F02D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8C3EEA"/>
    <w:multiLevelType w:val="hybridMultilevel"/>
    <w:tmpl w:val="C114BB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C5A7B"/>
    <w:multiLevelType w:val="hybridMultilevel"/>
    <w:tmpl w:val="98BCE6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E37BC"/>
    <w:multiLevelType w:val="hybridMultilevel"/>
    <w:tmpl w:val="C80C3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CC309E"/>
    <w:multiLevelType w:val="hybridMultilevel"/>
    <w:tmpl w:val="D6BA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091C"/>
    <w:multiLevelType w:val="hybridMultilevel"/>
    <w:tmpl w:val="BA920964"/>
    <w:lvl w:ilvl="0" w:tplc="901C12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2BF351AA"/>
    <w:multiLevelType w:val="hybridMultilevel"/>
    <w:tmpl w:val="F19C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304E3"/>
    <w:multiLevelType w:val="hybridMultilevel"/>
    <w:tmpl w:val="6758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D0265"/>
    <w:multiLevelType w:val="hybridMultilevel"/>
    <w:tmpl w:val="0A640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D77DD"/>
    <w:multiLevelType w:val="hybridMultilevel"/>
    <w:tmpl w:val="653E5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A50DC"/>
    <w:multiLevelType w:val="hybridMultilevel"/>
    <w:tmpl w:val="E4F07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36324"/>
    <w:multiLevelType w:val="hybridMultilevel"/>
    <w:tmpl w:val="46DA9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C16C7"/>
    <w:multiLevelType w:val="hybridMultilevel"/>
    <w:tmpl w:val="B3EC0638"/>
    <w:lvl w:ilvl="0" w:tplc="D6949DB4">
      <w:numFmt w:val="none"/>
      <w:lvlText w:val=""/>
      <w:lvlJc w:val="left"/>
      <w:pPr>
        <w:tabs>
          <w:tab w:val="num" w:pos="360"/>
        </w:tabs>
      </w:pPr>
    </w:lvl>
    <w:lvl w:ilvl="1" w:tplc="72267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2F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A2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EA3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A5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20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E4A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C70DE"/>
    <w:multiLevelType w:val="hybridMultilevel"/>
    <w:tmpl w:val="847C2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90498"/>
    <w:multiLevelType w:val="hybridMultilevel"/>
    <w:tmpl w:val="0DF4BF1C"/>
    <w:lvl w:ilvl="0" w:tplc="F224D208">
      <w:start w:val="1"/>
      <w:numFmt w:val="decimal"/>
      <w:lvlText w:val="%1."/>
      <w:lvlJc w:val="left"/>
      <w:pPr>
        <w:tabs>
          <w:tab w:val="num" w:pos="1721"/>
        </w:tabs>
        <w:ind w:left="1721" w:hanging="101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51A0372"/>
    <w:multiLevelType w:val="hybridMultilevel"/>
    <w:tmpl w:val="EFA2B3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6C7571A"/>
    <w:multiLevelType w:val="hybridMultilevel"/>
    <w:tmpl w:val="AEFC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938E3"/>
    <w:multiLevelType w:val="hybridMultilevel"/>
    <w:tmpl w:val="C0F4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F32DC"/>
    <w:multiLevelType w:val="hybridMultilevel"/>
    <w:tmpl w:val="E0B6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104C56"/>
    <w:multiLevelType w:val="hybridMultilevel"/>
    <w:tmpl w:val="72047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280415"/>
    <w:multiLevelType w:val="multilevel"/>
    <w:tmpl w:val="820EE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E03254"/>
    <w:multiLevelType w:val="multilevel"/>
    <w:tmpl w:val="F432D4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2735E9"/>
    <w:multiLevelType w:val="hybridMultilevel"/>
    <w:tmpl w:val="D340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E2BB8"/>
    <w:multiLevelType w:val="multilevel"/>
    <w:tmpl w:val="BB24F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884760"/>
    <w:multiLevelType w:val="hybridMultilevel"/>
    <w:tmpl w:val="0570E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40636"/>
    <w:multiLevelType w:val="hybridMultilevel"/>
    <w:tmpl w:val="7AF6BE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9B745F"/>
    <w:multiLevelType w:val="hybridMultilevel"/>
    <w:tmpl w:val="E3BEAB6A"/>
    <w:lvl w:ilvl="0" w:tplc="F15E60DA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33">
    <w:nsid w:val="6E9C24DA"/>
    <w:multiLevelType w:val="hybridMultilevel"/>
    <w:tmpl w:val="9B30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B5C77"/>
    <w:multiLevelType w:val="hybridMultilevel"/>
    <w:tmpl w:val="F5EE72C8"/>
    <w:lvl w:ilvl="0" w:tplc="C87A98A0">
      <w:numFmt w:val="none"/>
      <w:lvlText w:val=""/>
      <w:lvlJc w:val="left"/>
      <w:pPr>
        <w:tabs>
          <w:tab w:val="num" w:pos="360"/>
        </w:tabs>
      </w:pPr>
    </w:lvl>
    <w:lvl w:ilvl="1" w:tplc="AE5EE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81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20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E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65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48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23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A6FF1"/>
    <w:multiLevelType w:val="hybridMultilevel"/>
    <w:tmpl w:val="102EFC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92A23CC"/>
    <w:multiLevelType w:val="hybridMultilevel"/>
    <w:tmpl w:val="F134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A5922"/>
    <w:multiLevelType w:val="multilevel"/>
    <w:tmpl w:val="801C3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86939"/>
    <w:multiLevelType w:val="hybridMultilevel"/>
    <w:tmpl w:val="DE8E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36"/>
  </w:num>
  <w:num w:numId="5">
    <w:abstractNumId w:val="0"/>
  </w:num>
  <w:num w:numId="6">
    <w:abstractNumId w:val="32"/>
  </w:num>
  <w:num w:numId="7">
    <w:abstractNumId w:val="4"/>
  </w:num>
  <w:num w:numId="8">
    <w:abstractNumId w:val="19"/>
  </w:num>
  <w:num w:numId="9">
    <w:abstractNumId w:val="1"/>
  </w:num>
  <w:num w:numId="10">
    <w:abstractNumId w:val="30"/>
  </w:num>
  <w:num w:numId="11">
    <w:abstractNumId w:val="16"/>
  </w:num>
  <w:num w:numId="12">
    <w:abstractNumId w:val="24"/>
  </w:num>
  <w:num w:numId="13">
    <w:abstractNumId w:val="18"/>
  </w:num>
  <w:num w:numId="14">
    <w:abstractNumId w:val="17"/>
  </w:num>
  <w:num w:numId="15">
    <w:abstractNumId w:val="34"/>
  </w:num>
  <w:num w:numId="16">
    <w:abstractNumId w:val="23"/>
  </w:num>
  <w:num w:numId="17">
    <w:abstractNumId w:val="20"/>
  </w:num>
  <w:num w:numId="18">
    <w:abstractNumId w:val="3"/>
  </w:num>
  <w:num w:numId="19">
    <w:abstractNumId w:val="9"/>
  </w:num>
  <w:num w:numId="20">
    <w:abstractNumId w:val="38"/>
  </w:num>
  <w:num w:numId="21">
    <w:abstractNumId w:val="14"/>
  </w:num>
  <w:num w:numId="22">
    <w:abstractNumId w:val="22"/>
  </w:num>
  <w:num w:numId="23">
    <w:abstractNumId w:val="33"/>
  </w:num>
  <w:num w:numId="24">
    <w:abstractNumId w:val="28"/>
  </w:num>
  <w:num w:numId="25">
    <w:abstractNumId w:val="31"/>
  </w:num>
  <w:num w:numId="26">
    <w:abstractNumId w:val="15"/>
  </w:num>
  <w:num w:numId="27">
    <w:abstractNumId w:val="11"/>
  </w:num>
  <w:num w:numId="28">
    <w:abstractNumId w:val="35"/>
  </w:num>
  <w:num w:numId="29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5"/>
  </w:num>
  <w:num w:numId="32">
    <w:abstractNumId w:val="6"/>
  </w:num>
  <w:num w:numId="33">
    <w:abstractNumId w:val="2"/>
  </w:num>
  <w:num w:numId="34">
    <w:abstractNumId w:val="8"/>
  </w:num>
  <w:num w:numId="35">
    <w:abstractNumId w:val="5"/>
  </w:num>
  <w:num w:numId="36">
    <w:abstractNumId w:val="26"/>
  </w:num>
  <w:num w:numId="37">
    <w:abstractNumId w:val="37"/>
  </w:num>
  <w:num w:numId="38">
    <w:abstractNumId w:val="27"/>
  </w:num>
  <w:num w:numId="39">
    <w:abstractNumId w:val="29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ABC"/>
    <w:rsid w:val="000121E7"/>
    <w:rsid w:val="0003510D"/>
    <w:rsid w:val="0003753C"/>
    <w:rsid w:val="00041E51"/>
    <w:rsid w:val="000451B4"/>
    <w:rsid w:val="000563CE"/>
    <w:rsid w:val="00061EAE"/>
    <w:rsid w:val="00066E54"/>
    <w:rsid w:val="00067BBC"/>
    <w:rsid w:val="00072C1B"/>
    <w:rsid w:val="0007478D"/>
    <w:rsid w:val="00081BFE"/>
    <w:rsid w:val="000821BD"/>
    <w:rsid w:val="00092548"/>
    <w:rsid w:val="0009602F"/>
    <w:rsid w:val="000975B3"/>
    <w:rsid w:val="000A0D19"/>
    <w:rsid w:val="000A37BC"/>
    <w:rsid w:val="000A5791"/>
    <w:rsid w:val="000B343E"/>
    <w:rsid w:val="000B3789"/>
    <w:rsid w:val="000B4E9A"/>
    <w:rsid w:val="000C17B8"/>
    <w:rsid w:val="000D320A"/>
    <w:rsid w:val="000E2AF1"/>
    <w:rsid w:val="0011088D"/>
    <w:rsid w:val="0011583B"/>
    <w:rsid w:val="001158E5"/>
    <w:rsid w:val="001229BF"/>
    <w:rsid w:val="00123DEE"/>
    <w:rsid w:val="00125979"/>
    <w:rsid w:val="001367CE"/>
    <w:rsid w:val="00143BB6"/>
    <w:rsid w:val="00145228"/>
    <w:rsid w:val="001454D6"/>
    <w:rsid w:val="0014643F"/>
    <w:rsid w:val="001470CD"/>
    <w:rsid w:val="0015120E"/>
    <w:rsid w:val="00152435"/>
    <w:rsid w:val="001573AC"/>
    <w:rsid w:val="0015765A"/>
    <w:rsid w:val="00161435"/>
    <w:rsid w:val="0016291D"/>
    <w:rsid w:val="001709D7"/>
    <w:rsid w:val="00172252"/>
    <w:rsid w:val="00172B34"/>
    <w:rsid w:val="00175ED7"/>
    <w:rsid w:val="001B17CC"/>
    <w:rsid w:val="001B32E3"/>
    <w:rsid w:val="001B7A6E"/>
    <w:rsid w:val="001E03DB"/>
    <w:rsid w:val="001E1A28"/>
    <w:rsid w:val="001E20AD"/>
    <w:rsid w:val="001F1759"/>
    <w:rsid w:val="001F1972"/>
    <w:rsid w:val="001F251D"/>
    <w:rsid w:val="001F4333"/>
    <w:rsid w:val="001F78F5"/>
    <w:rsid w:val="00224E40"/>
    <w:rsid w:val="00234B85"/>
    <w:rsid w:val="00252A30"/>
    <w:rsid w:val="00253892"/>
    <w:rsid w:val="00255A04"/>
    <w:rsid w:val="00262F11"/>
    <w:rsid w:val="00263826"/>
    <w:rsid w:val="00270819"/>
    <w:rsid w:val="00284773"/>
    <w:rsid w:val="002A4291"/>
    <w:rsid w:val="002A4E5A"/>
    <w:rsid w:val="002B1055"/>
    <w:rsid w:val="002B39E0"/>
    <w:rsid w:val="002B7491"/>
    <w:rsid w:val="002C2584"/>
    <w:rsid w:val="002C5FF1"/>
    <w:rsid w:val="002D4963"/>
    <w:rsid w:val="002E60C9"/>
    <w:rsid w:val="002E7E58"/>
    <w:rsid w:val="002F00AF"/>
    <w:rsid w:val="002F12D0"/>
    <w:rsid w:val="002F261D"/>
    <w:rsid w:val="00303ADB"/>
    <w:rsid w:val="00344165"/>
    <w:rsid w:val="00345876"/>
    <w:rsid w:val="00347CEF"/>
    <w:rsid w:val="00353408"/>
    <w:rsid w:val="00354D73"/>
    <w:rsid w:val="00363522"/>
    <w:rsid w:val="00363F9F"/>
    <w:rsid w:val="0036607D"/>
    <w:rsid w:val="00367668"/>
    <w:rsid w:val="0037126C"/>
    <w:rsid w:val="00372A6B"/>
    <w:rsid w:val="00374EE9"/>
    <w:rsid w:val="0038350B"/>
    <w:rsid w:val="00386749"/>
    <w:rsid w:val="00390862"/>
    <w:rsid w:val="0039344F"/>
    <w:rsid w:val="003A1D02"/>
    <w:rsid w:val="003A69E3"/>
    <w:rsid w:val="003B0F15"/>
    <w:rsid w:val="003B2212"/>
    <w:rsid w:val="003B5607"/>
    <w:rsid w:val="003C29BE"/>
    <w:rsid w:val="003C510E"/>
    <w:rsid w:val="003C57EA"/>
    <w:rsid w:val="003C5A77"/>
    <w:rsid w:val="003D1A0B"/>
    <w:rsid w:val="003D2266"/>
    <w:rsid w:val="003D226C"/>
    <w:rsid w:val="003D2CAA"/>
    <w:rsid w:val="003D6962"/>
    <w:rsid w:val="003E6E41"/>
    <w:rsid w:val="003F0F29"/>
    <w:rsid w:val="003F5E1C"/>
    <w:rsid w:val="004026A0"/>
    <w:rsid w:val="00402C40"/>
    <w:rsid w:val="00425B7A"/>
    <w:rsid w:val="0042626F"/>
    <w:rsid w:val="00431DC7"/>
    <w:rsid w:val="00432E3E"/>
    <w:rsid w:val="00433B98"/>
    <w:rsid w:val="00437FAE"/>
    <w:rsid w:val="00454425"/>
    <w:rsid w:val="004567EA"/>
    <w:rsid w:val="004626AB"/>
    <w:rsid w:val="00464E26"/>
    <w:rsid w:val="004738A0"/>
    <w:rsid w:val="00477CE0"/>
    <w:rsid w:val="004844B2"/>
    <w:rsid w:val="004862EB"/>
    <w:rsid w:val="004928F4"/>
    <w:rsid w:val="00496AD1"/>
    <w:rsid w:val="004A3503"/>
    <w:rsid w:val="004A7922"/>
    <w:rsid w:val="004B4B42"/>
    <w:rsid w:val="004B7EFF"/>
    <w:rsid w:val="004C4CFA"/>
    <w:rsid w:val="004C71FB"/>
    <w:rsid w:val="004D36C9"/>
    <w:rsid w:val="004D6299"/>
    <w:rsid w:val="004E1538"/>
    <w:rsid w:val="004E18D7"/>
    <w:rsid w:val="004E1ECF"/>
    <w:rsid w:val="004E3518"/>
    <w:rsid w:val="004E7E85"/>
    <w:rsid w:val="004F1931"/>
    <w:rsid w:val="00500DE3"/>
    <w:rsid w:val="00532FC4"/>
    <w:rsid w:val="00540242"/>
    <w:rsid w:val="00540DC1"/>
    <w:rsid w:val="00546104"/>
    <w:rsid w:val="00546616"/>
    <w:rsid w:val="00547B1E"/>
    <w:rsid w:val="005506E9"/>
    <w:rsid w:val="00563587"/>
    <w:rsid w:val="005641B6"/>
    <w:rsid w:val="00590966"/>
    <w:rsid w:val="00593349"/>
    <w:rsid w:val="0059423F"/>
    <w:rsid w:val="00596266"/>
    <w:rsid w:val="005A2357"/>
    <w:rsid w:val="005A2785"/>
    <w:rsid w:val="005A5044"/>
    <w:rsid w:val="005A69E6"/>
    <w:rsid w:val="005B64D2"/>
    <w:rsid w:val="005B66D8"/>
    <w:rsid w:val="005C234B"/>
    <w:rsid w:val="005D08F3"/>
    <w:rsid w:val="005D21D3"/>
    <w:rsid w:val="005D57F8"/>
    <w:rsid w:val="005D6390"/>
    <w:rsid w:val="005E149B"/>
    <w:rsid w:val="00600AAD"/>
    <w:rsid w:val="006043B0"/>
    <w:rsid w:val="00604AD9"/>
    <w:rsid w:val="00621F4F"/>
    <w:rsid w:val="00622A92"/>
    <w:rsid w:val="00653ECD"/>
    <w:rsid w:val="00660D1F"/>
    <w:rsid w:val="00666EFE"/>
    <w:rsid w:val="00680CC9"/>
    <w:rsid w:val="00692DB1"/>
    <w:rsid w:val="006A7DBB"/>
    <w:rsid w:val="006B29B1"/>
    <w:rsid w:val="006B36C3"/>
    <w:rsid w:val="006B68E7"/>
    <w:rsid w:val="006D09E8"/>
    <w:rsid w:val="006D62CE"/>
    <w:rsid w:val="006E3B8C"/>
    <w:rsid w:val="006E4B7D"/>
    <w:rsid w:val="006F574F"/>
    <w:rsid w:val="0070584D"/>
    <w:rsid w:val="00711A96"/>
    <w:rsid w:val="00717D06"/>
    <w:rsid w:val="0072453C"/>
    <w:rsid w:val="00724A15"/>
    <w:rsid w:val="00725204"/>
    <w:rsid w:val="00726832"/>
    <w:rsid w:val="00727FDE"/>
    <w:rsid w:val="00733707"/>
    <w:rsid w:val="00735AA2"/>
    <w:rsid w:val="0074089A"/>
    <w:rsid w:val="007410BA"/>
    <w:rsid w:val="00743F03"/>
    <w:rsid w:val="00746F5F"/>
    <w:rsid w:val="007525AF"/>
    <w:rsid w:val="00776565"/>
    <w:rsid w:val="0078046F"/>
    <w:rsid w:val="007823B4"/>
    <w:rsid w:val="00786183"/>
    <w:rsid w:val="007871EE"/>
    <w:rsid w:val="007A15FD"/>
    <w:rsid w:val="007A4957"/>
    <w:rsid w:val="007B426E"/>
    <w:rsid w:val="007C4E4E"/>
    <w:rsid w:val="007C74BC"/>
    <w:rsid w:val="007E30F5"/>
    <w:rsid w:val="007F096D"/>
    <w:rsid w:val="007F615D"/>
    <w:rsid w:val="00802A95"/>
    <w:rsid w:val="008048FC"/>
    <w:rsid w:val="00805EEF"/>
    <w:rsid w:val="00806649"/>
    <w:rsid w:val="008110FF"/>
    <w:rsid w:val="008137AB"/>
    <w:rsid w:val="008158CB"/>
    <w:rsid w:val="008226E1"/>
    <w:rsid w:val="00823239"/>
    <w:rsid w:val="00823491"/>
    <w:rsid w:val="008276CB"/>
    <w:rsid w:val="0083222F"/>
    <w:rsid w:val="00833ABC"/>
    <w:rsid w:val="008350F4"/>
    <w:rsid w:val="00840037"/>
    <w:rsid w:val="008526C0"/>
    <w:rsid w:val="008708FD"/>
    <w:rsid w:val="008765DB"/>
    <w:rsid w:val="00882C3B"/>
    <w:rsid w:val="008A3A5A"/>
    <w:rsid w:val="008A7AD6"/>
    <w:rsid w:val="008B0822"/>
    <w:rsid w:val="008D3377"/>
    <w:rsid w:val="008E2E81"/>
    <w:rsid w:val="008E5BFA"/>
    <w:rsid w:val="008F559F"/>
    <w:rsid w:val="00901180"/>
    <w:rsid w:val="00914BEA"/>
    <w:rsid w:val="009168AD"/>
    <w:rsid w:val="00927A1B"/>
    <w:rsid w:val="009319DF"/>
    <w:rsid w:val="009332D6"/>
    <w:rsid w:val="0093686E"/>
    <w:rsid w:val="00943063"/>
    <w:rsid w:val="0095248B"/>
    <w:rsid w:val="009619EF"/>
    <w:rsid w:val="00966C28"/>
    <w:rsid w:val="00967029"/>
    <w:rsid w:val="009672C7"/>
    <w:rsid w:val="009713D6"/>
    <w:rsid w:val="00971A42"/>
    <w:rsid w:val="00977127"/>
    <w:rsid w:val="009839F1"/>
    <w:rsid w:val="00983E66"/>
    <w:rsid w:val="00990301"/>
    <w:rsid w:val="009917F3"/>
    <w:rsid w:val="00992DB7"/>
    <w:rsid w:val="009945BC"/>
    <w:rsid w:val="00994F43"/>
    <w:rsid w:val="00997B69"/>
    <w:rsid w:val="009B0556"/>
    <w:rsid w:val="009B3681"/>
    <w:rsid w:val="009B4DC6"/>
    <w:rsid w:val="009C02AF"/>
    <w:rsid w:val="009C07FE"/>
    <w:rsid w:val="009C0DCE"/>
    <w:rsid w:val="009C26A8"/>
    <w:rsid w:val="009C63F1"/>
    <w:rsid w:val="009D5BC4"/>
    <w:rsid w:val="009D6424"/>
    <w:rsid w:val="009D76D8"/>
    <w:rsid w:val="009E20F9"/>
    <w:rsid w:val="009E21CC"/>
    <w:rsid w:val="009F1F27"/>
    <w:rsid w:val="009F37BE"/>
    <w:rsid w:val="00A015DA"/>
    <w:rsid w:val="00A02BED"/>
    <w:rsid w:val="00A059DE"/>
    <w:rsid w:val="00A076E0"/>
    <w:rsid w:val="00A11C7D"/>
    <w:rsid w:val="00A1410B"/>
    <w:rsid w:val="00A151A5"/>
    <w:rsid w:val="00A15F71"/>
    <w:rsid w:val="00A21586"/>
    <w:rsid w:val="00A2340E"/>
    <w:rsid w:val="00A265F1"/>
    <w:rsid w:val="00A5038B"/>
    <w:rsid w:val="00A531C7"/>
    <w:rsid w:val="00A53242"/>
    <w:rsid w:val="00A54764"/>
    <w:rsid w:val="00A576FF"/>
    <w:rsid w:val="00A86762"/>
    <w:rsid w:val="00A86B1B"/>
    <w:rsid w:val="00A904BC"/>
    <w:rsid w:val="00A94404"/>
    <w:rsid w:val="00A95C79"/>
    <w:rsid w:val="00AA1286"/>
    <w:rsid w:val="00AA5873"/>
    <w:rsid w:val="00AA7D18"/>
    <w:rsid w:val="00AB454E"/>
    <w:rsid w:val="00AB5843"/>
    <w:rsid w:val="00AB797D"/>
    <w:rsid w:val="00AC377C"/>
    <w:rsid w:val="00AE20DA"/>
    <w:rsid w:val="00AE2107"/>
    <w:rsid w:val="00AE211D"/>
    <w:rsid w:val="00AE6AAA"/>
    <w:rsid w:val="00AF5A52"/>
    <w:rsid w:val="00B02E97"/>
    <w:rsid w:val="00B03120"/>
    <w:rsid w:val="00B050AA"/>
    <w:rsid w:val="00B076A0"/>
    <w:rsid w:val="00B16374"/>
    <w:rsid w:val="00B16760"/>
    <w:rsid w:val="00B23F75"/>
    <w:rsid w:val="00B24278"/>
    <w:rsid w:val="00B32030"/>
    <w:rsid w:val="00B32441"/>
    <w:rsid w:val="00B35385"/>
    <w:rsid w:val="00B51F1D"/>
    <w:rsid w:val="00B52EE6"/>
    <w:rsid w:val="00B55287"/>
    <w:rsid w:val="00B6102F"/>
    <w:rsid w:val="00B635C8"/>
    <w:rsid w:val="00B703B2"/>
    <w:rsid w:val="00B82128"/>
    <w:rsid w:val="00B86704"/>
    <w:rsid w:val="00BA491C"/>
    <w:rsid w:val="00BA653E"/>
    <w:rsid w:val="00BA7E07"/>
    <w:rsid w:val="00BB1D90"/>
    <w:rsid w:val="00BB50A3"/>
    <w:rsid w:val="00BD0BDB"/>
    <w:rsid w:val="00BD48C3"/>
    <w:rsid w:val="00BE54AE"/>
    <w:rsid w:val="00C009CE"/>
    <w:rsid w:val="00C01016"/>
    <w:rsid w:val="00C01132"/>
    <w:rsid w:val="00C015B4"/>
    <w:rsid w:val="00C03651"/>
    <w:rsid w:val="00C068FF"/>
    <w:rsid w:val="00C27A1A"/>
    <w:rsid w:val="00C33907"/>
    <w:rsid w:val="00C465BA"/>
    <w:rsid w:val="00C46705"/>
    <w:rsid w:val="00C5137C"/>
    <w:rsid w:val="00C5578D"/>
    <w:rsid w:val="00C57C5B"/>
    <w:rsid w:val="00C63030"/>
    <w:rsid w:val="00C709BE"/>
    <w:rsid w:val="00C720C3"/>
    <w:rsid w:val="00C72D47"/>
    <w:rsid w:val="00C73D76"/>
    <w:rsid w:val="00C94AE4"/>
    <w:rsid w:val="00C97B56"/>
    <w:rsid w:val="00CA3306"/>
    <w:rsid w:val="00CB1B27"/>
    <w:rsid w:val="00CB3C14"/>
    <w:rsid w:val="00CC7E50"/>
    <w:rsid w:val="00CD2209"/>
    <w:rsid w:val="00CD2237"/>
    <w:rsid w:val="00CD5BDE"/>
    <w:rsid w:val="00CE2705"/>
    <w:rsid w:val="00CE314A"/>
    <w:rsid w:val="00CF374E"/>
    <w:rsid w:val="00D06C9D"/>
    <w:rsid w:val="00D11EC8"/>
    <w:rsid w:val="00D138C9"/>
    <w:rsid w:val="00D13CE9"/>
    <w:rsid w:val="00D232F2"/>
    <w:rsid w:val="00D240DF"/>
    <w:rsid w:val="00D24573"/>
    <w:rsid w:val="00D24B5E"/>
    <w:rsid w:val="00D27E8D"/>
    <w:rsid w:val="00D31F16"/>
    <w:rsid w:val="00D3433E"/>
    <w:rsid w:val="00D41CC0"/>
    <w:rsid w:val="00D451AC"/>
    <w:rsid w:val="00D61496"/>
    <w:rsid w:val="00D80A97"/>
    <w:rsid w:val="00D92A8D"/>
    <w:rsid w:val="00DA0E77"/>
    <w:rsid w:val="00DA4ADF"/>
    <w:rsid w:val="00DA7744"/>
    <w:rsid w:val="00DB2D00"/>
    <w:rsid w:val="00DC0B56"/>
    <w:rsid w:val="00DC3628"/>
    <w:rsid w:val="00DD777B"/>
    <w:rsid w:val="00DE2EEE"/>
    <w:rsid w:val="00DE48B6"/>
    <w:rsid w:val="00DE5BE2"/>
    <w:rsid w:val="00DE6474"/>
    <w:rsid w:val="00DF1BEB"/>
    <w:rsid w:val="00DF4A2F"/>
    <w:rsid w:val="00DF4CC8"/>
    <w:rsid w:val="00DF7BCB"/>
    <w:rsid w:val="00E10F9E"/>
    <w:rsid w:val="00E126FA"/>
    <w:rsid w:val="00E15876"/>
    <w:rsid w:val="00E21006"/>
    <w:rsid w:val="00E30C5D"/>
    <w:rsid w:val="00E41B6C"/>
    <w:rsid w:val="00E43C32"/>
    <w:rsid w:val="00E50AA2"/>
    <w:rsid w:val="00E66C2A"/>
    <w:rsid w:val="00E7572E"/>
    <w:rsid w:val="00E81A05"/>
    <w:rsid w:val="00E84E19"/>
    <w:rsid w:val="00E86C19"/>
    <w:rsid w:val="00E8715D"/>
    <w:rsid w:val="00EA17DD"/>
    <w:rsid w:val="00EA2A3F"/>
    <w:rsid w:val="00EA4890"/>
    <w:rsid w:val="00EA4A6B"/>
    <w:rsid w:val="00EA4E2F"/>
    <w:rsid w:val="00EB33B4"/>
    <w:rsid w:val="00EB37AD"/>
    <w:rsid w:val="00EB618D"/>
    <w:rsid w:val="00EB6867"/>
    <w:rsid w:val="00EB75B1"/>
    <w:rsid w:val="00EC33F6"/>
    <w:rsid w:val="00EC6460"/>
    <w:rsid w:val="00EE55BA"/>
    <w:rsid w:val="00EF3E59"/>
    <w:rsid w:val="00EF4AD3"/>
    <w:rsid w:val="00EF69B3"/>
    <w:rsid w:val="00F04030"/>
    <w:rsid w:val="00F112C6"/>
    <w:rsid w:val="00F2135E"/>
    <w:rsid w:val="00F23C7A"/>
    <w:rsid w:val="00F26B18"/>
    <w:rsid w:val="00F2783A"/>
    <w:rsid w:val="00F279EA"/>
    <w:rsid w:val="00F37978"/>
    <w:rsid w:val="00F64C06"/>
    <w:rsid w:val="00F659D8"/>
    <w:rsid w:val="00F67817"/>
    <w:rsid w:val="00F7504B"/>
    <w:rsid w:val="00F85591"/>
    <w:rsid w:val="00F86AF2"/>
    <w:rsid w:val="00F9488E"/>
    <w:rsid w:val="00F969EA"/>
    <w:rsid w:val="00FA07D6"/>
    <w:rsid w:val="00FA202B"/>
    <w:rsid w:val="00FA2C9D"/>
    <w:rsid w:val="00FA5139"/>
    <w:rsid w:val="00FC2A09"/>
    <w:rsid w:val="00FC4F2D"/>
    <w:rsid w:val="00FC7DD8"/>
    <w:rsid w:val="00FD1A87"/>
    <w:rsid w:val="00FD26A1"/>
    <w:rsid w:val="00FD32CB"/>
    <w:rsid w:val="00FD5957"/>
    <w:rsid w:val="00FD5E31"/>
    <w:rsid w:val="00FE0946"/>
    <w:rsid w:val="00FE238A"/>
    <w:rsid w:val="00FE32AC"/>
    <w:rsid w:val="00FE3413"/>
    <w:rsid w:val="00FE5054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C"/>
  </w:style>
  <w:style w:type="paragraph" w:styleId="1">
    <w:name w:val="heading 1"/>
    <w:basedOn w:val="a"/>
    <w:next w:val="a"/>
    <w:qFormat/>
    <w:rsid w:val="00833AB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33AB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33AB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5248B"/>
    <w:pPr>
      <w:shd w:val="clear" w:color="auto" w:fill="000080"/>
    </w:pPr>
    <w:rPr>
      <w:rFonts w:ascii="Tahoma" w:hAnsi="Tahoma" w:cs="Tahoma"/>
    </w:rPr>
  </w:style>
  <w:style w:type="paragraph" w:styleId="a5">
    <w:name w:val="footnote text"/>
    <w:basedOn w:val="a"/>
    <w:semiHidden/>
    <w:rsid w:val="00C709BE"/>
    <w:rPr>
      <w:lang w:val="en-US" w:eastAsia="en-US"/>
    </w:rPr>
  </w:style>
  <w:style w:type="character" w:styleId="a6">
    <w:name w:val="footnote reference"/>
    <w:semiHidden/>
    <w:rsid w:val="00C709BE"/>
    <w:rPr>
      <w:vertAlign w:val="superscript"/>
    </w:rPr>
  </w:style>
  <w:style w:type="paragraph" w:styleId="a7">
    <w:name w:val="Body Text"/>
    <w:basedOn w:val="a"/>
    <w:rsid w:val="004626AB"/>
    <w:pPr>
      <w:jc w:val="center"/>
    </w:pPr>
    <w:rPr>
      <w:b/>
      <w:bCs/>
      <w:sz w:val="32"/>
      <w:szCs w:val="24"/>
      <w:u w:val="single"/>
    </w:rPr>
  </w:style>
  <w:style w:type="paragraph" w:styleId="a8">
    <w:name w:val="header"/>
    <w:basedOn w:val="a"/>
    <w:rsid w:val="009D642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6424"/>
  </w:style>
  <w:style w:type="paragraph" w:styleId="aa">
    <w:name w:val="Balloon Text"/>
    <w:basedOn w:val="a"/>
    <w:semiHidden/>
    <w:rsid w:val="00FC4F2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A0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Знак"/>
    <w:basedOn w:val="a"/>
    <w:rsid w:val="009B4DC6"/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DC3628"/>
    <w:pPr>
      <w:ind w:left="720"/>
      <w:contextualSpacing/>
    </w:pPr>
    <w:rPr>
      <w:sz w:val="24"/>
      <w:szCs w:val="24"/>
      <w:lang w:val="en-US" w:eastAsia="en-US"/>
    </w:rPr>
  </w:style>
  <w:style w:type="paragraph" w:customStyle="1" w:styleId="ConsTitle">
    <w:name w:val="ConsTitle"/>
    <w:rsid w:val="006A7D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Основной текст (2)_"/>
    <w:basedOn w:val="a0"/>
    <w:link w:val="21"/>
    <w:rsid w:val="00A95C7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95C79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30">
    <w:name w:val="Основной текст (3)_"/>
    <w:basedOn w:val="a0"/>
    <w:link w:val="31"/>
    <w:rsid w:val="00A95C79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5C79"/>
    <w:rPr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A95C7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95C79"/>
    <w:pPr>
      <w:widowControl w:val="0"/>
      <w:shd w:val="clear" w:color="auto" w:fill="FFFFFF"/>
      <w:spacing w:after="420" w:line="0" w:lineRule="atLeast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95C79"/>
    <w:pPr>
      <w:widowControl w:val="0"/>
      <w:shd w:val="clear" w:color="auto" w:fill="FFFFFF"/>
      <w:spacing w:after="300" w:line="274" w:lineRule="exact"/>
    </w:pPr>
  </w:style>
  <w:style w:type="paragraph" w:customStyle="1" w:styleId="5">
    <w:name w:val="Основной текст (5)"/>
    <w:basedOn w:val="a"/>
    <w:link w:val="5Exact"/>
    <w:rsid w:val="00A95C79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styleId="ad">
    <w:name w:val="footer"/>
    <w:basedOn w:val="a"/>
    <w:link w:val="ae"/>
    <w:unhideWhenUsed/>
    <w:rsid w:val="00C557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578D"/>
  </w:style>
  <w:style w:type="paragraph" w:styleId="af">
    <w:name w:val="No Spacing"/>
    <w:uiPriority w:val="1"/>
    <w:qFormat/>
    <w:rsid w:val="00A21586"/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A215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980/f6758978b92339b7e996fde13e5104caec7531d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 МАЙМИНСКИЙ РАЙОН</vt:lpstr>
    </vt:vector>
  </TitlesOfParts>
  <Company>HOME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 МАЙМИНСКИЙ РАЙОН</dc:title>
  <dc:creator>Владимир</dc:creator>
  <cp:lastModifiedBy>souzga</cp:lastModifiedBy>
  <cp:revision>3</cp:revision>
  <cp:lastPrinted>2019-10-14T04:38:00Z</cp:lastPrinted>
  <dcterms:created xsi:type="dcterms:W3CDTF">2019-10-14T04:38:00Z</dcterms:created>
  <dcterms:modified xsi:type="dcterms:W3CDTF">2019-10-31T05:59:00Z</dcterms:modified>
</cp:coreProperties>
</file>